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FC" w:rsidRDefault="00160FFC" w:rsidP="0010101E">
      <w:pPr>
        <w:pStyle w:val="berschrift1"/>
      </w:pPr>
      <w:r>
        <w:t xml:space="preserve">Protokoll Y </w:t>
      </w:r>
      <w:bookmarkStart w:id="0" w:name="_GoBack"/>
      <w:r>
        <w:t>(</w:t>
      </w:r>
      <w:r w:rsidR="00B6277D">
        <w:t xml:space="preserve">intravenös, Ärzte; </w:t>
      </w:r>
      <w:r>
        <w:t>CDI</w:t>
      </w:r>
      <w:r w:rsidR="00B6277D">
        <w:t>, 30-50 ppm, 5ml-Injektion</w:t>
      </w:r>
      <w:r>
        <w:t>)</w:t>
      </w:r>
      <w:bookmarkEnd w:id="0"/>
    </w:p>
    <w:p w:rsidR="00160FFC" w:rsidRDefault="00160FFC" w:rsidP="00160FFC">
      <w:pPr>
        <w:pStyle w:val="berschrift4"/>
      </w:pPr>
      <w:r>
        <w:t>(CDI‐Protokoll – Nur für medizinisches Fachpersonal!)</w:t>
      </w:r>
    </w:p>
    <w:p w:rsidR="00160FFC" w:rsidRDefault="00160FFC" w:rsidP="00160FFC">
      <w:pPr>
        <w:pStyle w:val="berschrift4"/>
      </w:pPr>
      <w:r>
        <w:t>Ziel:</w:t>
      </w:r>
    </w:p>
    <w:p w:rsidR="00160FFC" w:rsidRDefault="00160FFC" w:rsidP="00160FFC">
      <w:pPr>
        <w:pStyle w:val="Punktliste1"/>
      </w:pPr>
      <w:r>
        <w:t>Der Hauptzweck dieses Protokolls besteht darin</w:t>
      </w:r>
      <w:r w:rsidRPr="00160FFC">
        <w:t>, akute Zustände wie Hypoxie, Sepsis und Histaminüberreaktionen</w:t>
      </w:r>
      <w:r>
        <w:t xml:space="preserve"> zu behandeln.</w:t>
      </w:r>
    </w:p>
    <w:p w:rsidR="00160FFC" w:rsidRDefault="00160FFC" w:rsidP="00160FFC">
      <w:pPr>
        <w:pStyle w:val="Punktliste1"/>
      </w:pPr>
      <w:r>
        <w:t xml:space="preserve">Protokoll Y, auch bekannt als CDI‐Protokoll, ist eine </w:t>
      </w:r>
      <w:r w:rsidRPr="00160FFC">
        <w:t>intravenöse Behandlung mit Chlordioxidlösung</w:t>
      </w:r>
      <w:r>
        <w:t>.</w:t>
      </w:r>
    </w:p>
    <w:p w:rsidR="00160FFC" w:rsidRDefault="00160FFC" w:rsidP="00160FFC">
      <w:pPr>
        <w:pStyle w:val="Punktliste1"/>
      </w:pPr>
      <w:r>
        <w:t>Diese Technik ist ausschließlich medizinischem Fachpersonal vorbehalten und muss mit Zustimmung des Patienten gemäß den Bestimmungen von § 37 des Helsinki‐Protokolls (WMA) durchgeführt werden.</w:t>
      </w:r>
    </w:p>
    <w:p w:rsidR="00160FFC" w:rsidRDefault="00160FFC" w:rsidP="00160FFC">
      <w:pPr>
        <w:pStyle w:val="berschrift4"/>
      </w:pPr>
      <w:r>
        <w:t>Anwendung:</w:t>
      </w:r>
    </w:p>
    <w:p w:rsidR="00160FFC" w:rsidRDefault="00160FFC" w:rsidP="00A97928">
      <w:pPr>
        <w:pStyle w:val="berschrift5"/>
      </w:pPr>
      <w:r>
        <w:t>Subkutane Injektion (örtliche Anwendung, 30-50 ppm)</w:t>
      </w:r>
    </w:p>
    <w:p w:rsidR="00160FFC" w:rsidRDefault="00160FFC" w:rsidP="00A97928">
      <w:pPr>
        <w:pStyle w:val="Punktliste1"/>
      </w:pPr>
      <w:r>
        <w:t xml:space="preserve">Zubereitung: 1 ml CDS (3.000 ppm) in 100 ml Kochsalzlösung NaCl (0,9%) </w:t>
      </w:r>
      <w:r w:rsidRPr="00160FFC">
        <w:rPr>
          <w:highlight w:val="yellow"/>
        </w:rPr>
        <w:t>(</w:t>
      </w:r>
      <w:r>
        <w:rPr>
          <w:highlight w:val="yellow"/>
        </w:rPr>
        <w:t xml:space="preserve">= </w:t>
      </w:r>
      <w:r w:rsidRPr="00160FFC">
        <w:rPr>
          <w:highlight w:val="yellow"/>
        </w:rPr>
        <w:t>30 ppm</w:t>
      </w:r>
      <w:r>
        <w:rPr>
          <w:highlight w:val="yellow"/>
        </w:rPr>
        <w:t xml:space="preserve"> in Kochsalzlösung</w:t>
      </w:r>
      <w:r w:rsidRPr="00160FFC">
        <w:rPr>
          <w:highlight w:val="yellow"/>
        </w:rPr>
        <w:t>)</w:t>
      </w:r>
    </w:p>
    <w:p w:rsidR="00160FFC" w:rsidRDefault="00160FFC" w:rsidP="00A97928">
      <w:pPr>
        <w:pStyle w:val="Punktliste1"/>
      </w:pPr>
      <w:r w:rsidRPr="00160FFC">
        <w:rPr>
          <w:b/>
        </w:rPr>
        <w:t>Bei lokalen Problemen, z. B. Infektionen in einem bestimmten Bereich</w:t>
      </w:r>
      <w:r>
        <w:t>, wird eine subkutane Injektion durchgeführt (Papeln).</w:t>
      </w:r>
    </w:p>
    <w:p w:rsidR="00160FFC" w:rsidRDefault="00160FFC" w:rsidP="00A97928">
      <w:pPr>
        <w:pStyle w:val="Punktliste1"/>
      </w:pPr>
      <w:r>
        <w:t xml:space="preserve">Dabei werden </w:t>
      </w:r>
      <w:r w:rsidRPr="00160FFC">
        <w:rPr>
          <w:b/>
        </w:rPr>
        <w:t>5 ml</w:t>
      </w:r>
      <w:r>
        <w:t xml:space="preserve"> CDI mit einer Konzentration von </w:t>
      </w:r>
      <w:r w:rsidRPr="00160FFC">
        <w:rPr>
          <w:highlight w:val="yellow"/>
        </w:rPr>
        <w:t>30‐50 ppm</w:t>
      </w:r>
      <w:r>
        <w:t xml:space="preserve"> und einem pH‐Wert von 7,6 in die Nähe der betroffenen Stelle injiziert. Auf diese Weise kann sich das Chlordioxid effektiv in dem betroffenen Bereich verteilen.</w:t>
      </w:r>
    </w:p>
    <w:p w:rsidR="00160FFC" w:rsidRDefault="00160FFC" w:rsidP="00A97928">
      <w:pPr>
        <w:pStyle w:val="Punktliste1"/>
      </w:pPr>
      <w:r>
        <w:t>Die Injektion kann bei Bedarf wiederholt werden.</w:t>
      </w:r>
    </w:p>
    <w:p w:rsidR="00A97928" w:rsidRDefault="00160FFC" w:rsidP="00A97928">
      <w:pPr>
        <w:pStyle w:val="berschrift5"/>
      </w:pPr>
      <w:r>
        <w:t>Intravenöse Injektion</w:t>
      </w:r>
      <w:r w:rsidR="00A97928">
        <w:t xml:space="preserve"> </w:t>
      </w:r>
      <w:r w:rsidR="00A97928" w:rsidRPr="00160FFC">
        <w:rPr>
          <w:highlight w:val="yellow"/>
        </w:rPr>
        <w:t>(= 30 ppm in Kochsalzlösung</w:t>
      </w:r>
      <w:r w:rsidR="00A97928">
        <w:t>)</w:t>
      </w:r>
    </w:p>
    <w:p w:rsidR="00160FFC" w:rsidRDefault="00160FFC" w:rsidP="00A97928">
      <w:pPr>
        <w:pStyle w:val="Punktliste1"/>
      </w:pPr>
      <w:r>
        <w:t xml:space="preserve">Zur </w:t>
      </w:r>
      <w:r w:rsidRPr="00160FFC">
        <w:t>Behandlung umfassenderer, systemischer Erkrankungen.</w:t>
      </w:r>
    </w:p>
    <w:p w:rsidR="00160FFC" w:rsidRDefault="00160FFC" w:rsidP="00A97928">
      <w:pPr>
        <w:pStyle w:val="Punktliste1"/>
      </w:pPr>
      <w:r>
        <w:t xml:space="preserve">Vor der intravenösen Behandlung muss der Patient </w:t>
      </w:r>
      <w:r w:rsidRPr="00160FFC">
        <w:t>mindestens 7 Tage zuvor ein orales oder rektales Protokoll</w:t>
      </w:r>
      <w:r>
        <w:t xml:space="preserve"> befolgt haben (es sei denn, es handelt sich um einen akuten Fall).</w:t>
      </w:r>
    </w:p>
    <w:p w:rsidR="00160FFC" w:rsidRDefault="00160FFC" w:rsidP="00A97928">
      <w:pPr>
        <w:pStyle w:val="Punktliste1"/>
      </w:pPr>
      <w:r>
        <w:t>Legen Sie einen peripheren Kanal mit einer patentierten Venenverweilkanüle (~18 oder 20 Gauge) und wechseln Sie bei jeder Infusion den Arm.</w:t>
      </w:r>
    </w:p>
    <w:p w:rsidR="00160FFC" w:rsidRDefault="00160FFC" w:rsidP="00A97928">
      <w:pPr>
        <w:pStyle w:val="Punktliste1"/>
      </w:pPr>
      <w:r>
        <w:lastRenderedPageBreak/>
        <w:t>Führen Sie die Venenpunktion vorsichtig durch, um Blutergüsse zu vermeiden.</w:t>
      </w:r>
    </w:p>
    <w:p w:rsidR="00160FFC" w:rsidRDefault="00160FFC" w:rsidP="00A97928">
      <w:pPr>
        <w:pStyle w:val="Punktliste1"/>
      </w:pPr>
      <w:r>
        <w:t>Optional können vor und nach dem Verfahren venöse Blutgasmessungen durchgeführt werden, um die Parameter pH, pCO2, pO2, BEecf, LAC und CREA des Patienten zu ermitteln und die Wirksamkeit der Dosis zu bestimmen.</w:t>
      </w:r>
    </w:p>
    <w:p w:rsidR="00160FFC" w:rsidRDefault="00160FFC" w:rsidP="00160FFC">
      <w:pPr>
        <w:pStyle w:val="berschrift6"/>
      </w:pPr>
      <w:r>
        <w:t>Vorbereitung:</w:t>
      </w:r>
    </w:p>
    <w:p w:rsidR="00160FFC" w:rsidRDefault="00160FFC" w:rsidP="00160FFC">
      <w:r>
        <w:t xml:space="preserve">Die Standarddosis beträgt 5 ml CDE (elektrolytisch hergestelltes Chlordioxid mit 3.000 ppm) in 500 ml 0,9‐prozentiger Kochsalzlösung, die Menge kann jedoch an die Bedürfnisse des Patienten angepasst werden. </w:t>
      </w:r>
      <w:r w:rsidRPr="00160FFC">
        <w:rPr>
          <w:highlight w:val="yellow"/>
        </w:rPr>
        <w:t>(= 30 ppm in Kochsalzlösung</w:t>
      </w:r>
      <w:r>
        <w:t>)</w:t>
      </w:r>
    </w:p>
    <w:p w:rsidR="00160FFC" w:rsidRDefault="00160FFC" w:rsidP="00160FFC">
      <w:r>
        <w:t>Der pH‐Wert im Infusionsbeutel sollte vorzugsweise 7,6 betragen und kann mit ca. 1‐2 ml 8,4‐prozentiger Bicarbonatlösung (HCO3) auf den gewünschten pH‐Wert eingestellt werden.</w:t>
      </w:r>
    </w:p>
    <w:p w:rsidR="00160FFC" w:rsidRDefault="00160FFC" w:rsidP="00160FFC">
      <w:r>
        <w:t>Die Zufuhr der CDI sollte über einen Zeitraum von 3‐6 Stunden erfolgen.</w:t>
      </w:r>
    </w:p>
    <w:p w:rsidR="00160FFC" w:rsidRDefault="00160FFC" w:rsidP="00160FFC">
      <w:r>
        <w:t>Der Inhalt des Beutels sollte bei Raumtemperatur gehalten und vor</w:t>
      </w:r>
    </w:p>
    <w:p w:rsidR="00160FFC" w:rsidRDefault="00160FFC" w:rsidP="00160FFC">
      <w:r>
        <w:t>Tageslichteinwirkung geschützt sein.</w:t>
      </w:r>
    </w:p>
    <w:p w:rsidR="00160FFC" w:rsidRDefault="00160FFC" w:rsidP="00160FFC">
      <w:r>
        <w:t>Empfindet der Patient ein Brennen, muss die Infusion verlangsamt werden.</w:t>
      </w:r>
    </w:p>
    <w:p w:rsidR="00160FFC" w:rsidRDefault="00160FFC" w:rsidP="00160FFC">
      <w:r>
        <w:t>Variieren Sie die Applikationsstelle, um Reizungen oder Brennen zu vermeiden.</w:t>
      </w:r>
    </w:p>
    <w:p w:rsidR="00160FFC" w:rsidRDefault="00160FFC" w:rsidP="00A97928">
      <w:pPr>
        <w:pStyle w:val="berschrift5"/>
      </w:pPr>
      <w:r w:rsidRPr="00160FFC">
        <w:t>Wunddesinfektion, Adhäsionsprophylaxe, onkologische Chirurgie</w:t>
      </w:r>
      <w:r>
        <w:t xml:space="preserve"> </w:t>
      </w:r>
      <w:r w:rsidRPr="00160FFC">
        <w:t>und Osteomyelitis</w:t>
      </w:r>
      <w:r w:rsidR="00A97928">
        <w:t xml:space="preserve"> (</w:t>
      </w:r>
      <w:r w:rsidR="00A97928" w:rsidRPr="00160FFC">
        <w:rPr>
          <w:highlight w:val="yellow"/>
        </w:rPr>
        <w:t>300‐400 ppm</w:t>
      </w:r>
      <w:r w:rsidR="00A97928">
        <w:t>)</w:t>
      </w:r>
      <w:r>
        <w:t>:</w:t>
      </w:r>
    </w:p>
    <w:p w:rsidR="00160FFC" w:rsidRDefault="00160FFC" w:rsidP="00160FFC">
      <w:r>
        <w:t xml:space="preserve">‐ Eine Lösung von </w:t>
      </w:r>
      <w:r w:rsidRPr="00160FFC">
        <w:rPr>
          <w:highlight w:val="yellow"/>
        </w:rPr>
        <w:t>300‐400 ppm</w:t>
      </w:r>
      <w:r>
        <w:t xml:space="preserve"> in NaCl‐Kochsalzlösung (0,9 %)</w:t>
      </w:r>
    </w:p>
    <w:p w:rsidR="00160FFC" w:rsidRDefault="00160FFC" w:rsidP="00160FFC">
      <w:r>
        <w:t>wird auf die gewünschten Bereiche aufgetragen.</w:t>
      </w:r>
    </w:p>
    <w:p w:rsidR="00160FFC" w:rsidRDefault="00160FFC" w:rsidP="00A97928">
      <w:pPr>
        <w:pStyle w:val="berschrift5"/>
      </w:pPr>
      <w:r w:rsidRPr="00A97928">
        <w:t>Stillen von Blutungen ohne Gerinnung</w:t>
      </w:r>
      <w:r>
        <w:t>:</w:t>
      </w:r>
    </w:p>
    <w:p w:rsidR="00160FFC" w:rsidRDefault="00160FFC" w:rsidP="00160FFC">
      <w:r>
        <w:t xml:space="preserve">‐ Eine Lösung von </w:t>
      </w:r>
      <w:r w:rsidRPr="00A97928">
        <w:rPr>
          <w:highlight w:val="yellow"/>
        </w:rPr>
        <w:t>500‐1.000 ppm</w:t>
      </w:r>
      <w:r>
        <w:t xml:space="preserve"> wird verwendet, indem mit einer mit CDS</w:t>
      </w:r>
      <w:r w:rsidR="00A97928">
        <w:t xml:space="preserve"> </w:t>
      </w:r>
      <w:r>
        <w:t>vollgesaugten Gaze/Mullbinde Druck (steril) auf die Stelle ausgeübt wird.</w:t>
      </w:r>
      <w:r w:rsidR="00A97928">
        <w:t xml:space="preserve"> (= )</w:t>
      </w:r>
    </w:p>
    <w:p w:rsidR="00160FFC" w:rsidRPr="00A97928" w:rsidRDefault="00160FFC" w:rsidP="00A97928">
      <w:pPr>
        <w:pStyle w:val="berschrift5"/>
      </w:pPr>
      <w:r w:rsidRPr="00A97928">
        <w:rPr>
          <w:rStyle w:val="berschrift5Zchn"/>
          <w:b/>
        </w:rPr>
        <w:t>Schwere Verbrennungen</w:t>
      </w:r>
      <w:r w:rsidR="00A97928">
        <w:rPr>
          <w:rStyle w:val="berschrift5Zchn"/>
          <w:b/>
        </w:rPr>
        <w:t xml:space="preserve"> (1000-3000 ppm)</w:t>
      </w:r>
      <w:r w:rsidRPr="00A97928">
        <w:rPr>
          <w:rStyle w:val="berschrift5Zchn"/>
          <w:b/>
        </w:rPr>
        <w:t>:</w:t>
      </w:r>
    </w:p>
    <w:p w:rsidR="00160FFC" w:rsidRDefault="00160FFC" w:rsidP="00160FFC">
      <w:r>
        <w:t xml:space="preserve">‐ </w:t>
      </w:r>
      <w:r w:rsidRPr="00A97928">
        <w:rPr>
          <w:highlight w:val="yellow"/>
        </w:rPr>
        <w:t>1.000‐3.000 ppm CDS‐Spray</w:t>
      </w:r>
      <w:r>
        <w:t xml:space="preserve"> wird nach Bedarf verwendet, um Linderung</w:t>
      </w:r>
      <w:r w:rsidR="00A97928">
        <w:t xml:space="preserve"> </w:t>
      </w:r>
      <w:r>
        <w:t>zu verschaffen und weitere Infektionen zu verhindern.</w:t>
      </w:r>
    </w:p>
    <w:p w:rsidR="00160FFC" w:rsidRDefault="00160FFC" w:rsidP="00160FFC">
      <w:r>
        <w:t xml:space="preserve">‐ Nach Möglichkeit </w:t>
      </w:r>
      <w:r w:rsidRPr="00A97928">
        <w:rPr>
          <w:b/>
        </w:rPr>
        <w:t>Protokoll C25</w:t>
      </w:r>
      <w:r>
        <w:t xml:space="preserve"> hinzuziehen.</w:t>
      </w:r>
    </w:p>
    <w:p w:rsidR="00160FFC" w:rsidRDefault="00160FFC" w:rsidP="00160FFC">
      <w:r>
        <w:lastRenderedPageBreak/>
        <w:t>Es ist wichtig zu beachten, dass es sich bei diesem Protokoll um eine fortgeschrittene medizinische</w:t>
      </w:r>
      <w:r w:rsidR="00A97928">
        <w:t xml:space="preserve"> </w:t>
      </w:r>
      <w:r>
        <w:t>Anwendung handelt, die nur von erfahrenen medizinischen Fachkräften und an einwilligungsfähigen</w:t>
      </w:r>
    </w:p>
    <w:p w:rsidR="00160FFC" w:rsidRDefault="00160FFC" w:rsidP="00160FFC">
      <w:r>
        <w:t>Patienten durchgeführt werden sollte. Außerdem müssen die Dosen und Konzentrationen für jeden</w:t>
      </w:r>
      <w:r w:rsidR="00A97928">
        <w:t xml:space="preserve"> </w:t>
      </w:r>
      <w:r>
        <w:t>Patienten individuell auf Grundlage seiner spezifischen Bedürfnisse festgelegt werden.</w:t>
      </w:r>
    </w:p>
    <w:p w:rsidR="00A97928" w:rsidRDefault="00A97928" w:rsidP="00160FFC"/>
    <w:p w:rsidR="00EE3AA5" w:rsidRDefault="00160FFC" w:rsidP="00160FFC">
      <w:r>
        <w:t>Weitere fachliche Informationen finden Sie in den Kursen des Kalcker Institute.Neue Protokolle Andreas Kalcker ∙ Stand August 2025 ∙ www.andreaskalcker.com ∙ ZUM INHALTSVERZEICHNIS 36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FC"/>
    <w:rsid w:val="0007601C"/>
    <w:rsid w:val="0010101E"/>
    <w:rsid w:val="00141C24"/>
    <w:rsid w:val="00147A65"/>
    <w:rsid w:val="00160FFC"/>
    <w:rsid w:val="002B2D77"/>
    <w:rsid w:val="003012C0"/>
    <w:rsid w:val="00317B3A"/>
    <w:rsid w:val="003A02B1"/>
    <w:rsid w:val="003E4A3C"/>
    <w:rsid w:val="003F1352"/>
    <w:rsid w:val="0053334A"/>
    <w:rsid w:val="0059356F"/>
    <w:rsid w:val="005A0C8A"/>
    <w:rsid w:val="005B3949"/>
    <w:rsid w:val="005E2B80"/>
    <w:rsid w:val="00620F96"/>
    <w:rsid w:val="00635562"/>
    <w:rsid w:val="007056E5"/>
    <w:rsid w:val="007974B7"/>
    <w:rsid w:val="008831D6"/>
    <w:rsid w:val="0099706E"/>
    <w:rsid w:val="009D4660"/>
    <w:rsid w:val="00A97928"/>
    <w:rsid w:val="00AD6727"/>
    <w:rsid w:val="00B6277D"/>
    <w:rsid w:val="00B95414"/>
    <w:rsid w:val="00BD3F5F"/>
    <w:rsid w:val="00CA4B46"/>
    <w:rsid w:val="00CC0C13"/>
    <w:rsid w:val="00D26C92"/>
    <w:rsid w:val="00E54996"/>
    <w:rsid w:val="00EB032A"/>
    <w:rsid w:val="00EC60FD"/>
    <w:rsid w:val="00EE3AA5"/>
    <w:rsid w:val="00F061AB"/>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D9DB"/>
  <w15:chartTrackingRefBased/>
  <w15:docId w15:val="{A26CFEFE-B0DC-44C6-B67C-C4AAB450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10101E"/>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A97928"/>
    <w:pPr>
      <w:keepNext/>
      <w:keepLines/>
      <w:spacing w:before="240" w:after="120"/>
      <w:jc w:val="center"/>
      <w:outlineLvl w:val="4"/>
    </w:pPr>
    <w:rPr>
      <w:rFonts w:asciiTheme="majorHAnsi" w:eastAsia="Calibri" w:hAnsiTheme="majorHAnsi" w:cs="Calibri"/>
      <w:b/>
      <w:color w:val="000000"/>
      <w:sz w:val="22"/>
    </w:rPr>
  </w:style>
  <w:style w:type="paragraph" w:styleId="berschrift6">
    <w:name w:val="heading 6"/>
    <w:basedOn w:val="Standard"/>
    <w:next w:val="Standard"/>
    <w:link w:val="berschrift6Zchn"/>
    <w:autoRedefine/>
    <w:uiPriority w:val="9"/>
    <w:unhideWhenUsed/>
    <w:qFormat/>
    <w:rsid w:val="00A97928"/>
    <w:pPr>
      <w:keepNext/>
      <w:keepLines/>
      <w:spacing w:before="40" w:after="0"/>
      <w:jc w:val="center"/>
      <w:outlineLvl w:val="5"/>
    </w:pPr>
    <w:rPr>
      <w:rFonts w:asciiTheme="majorHAnsi" w:eastAsiaTheme="majorEastAsia" w:hAnsiTheme="majorHAnsi" w:cstheme="majorBidi"/>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101E"/>
    <w:rPr>
      <w:rFonts w:asciiTheme="majorHAnsi" w:eastAsia="Times New Roman" w:hAnsiTheme="majorHAnsi" w:cstheme="majorHAnsi"/>
      <w:b/>
      <w:bCs w:val="0"/>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A97928"/>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 w:type="character" w:customStyle="1" w:styleId="berschrift6Zchn">
    <w:name w:val="Überschrift 6 Zchn"/>
    <w:basedOn w:val="Absatz-Standardschriftart"/>
    <w:link w:val="berschrift6"/>
    <w:uiPriority w:val="9"/>
    <w:rsid w:val="00A97928"/>
    <w:rPr>
      <w:rFonts w:asciiTheme="majorHAnsi" w:eastAsiaTheme="majorEastAsia" w:hAnsiTheme="majorHAnsi" w:cstheme="majorBidi"/>
      <w:b/>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9614-FDC1-4FBB-A66B-FCC2ADE9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2025-11-13T17:28:00Z</dcterms:created>
  <dcterms:modified xsi:type="dcterms:W3CDTF">2025-11-17T15:39:00Z</dcterms:modified>
</cp:coreProperties>
</file>