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D7" w:rsidRDefault="007339D7" w:rsidP="007339D7">
      <w:pPr>
        <w:pStyle w:val="berschrift1"/>
      </w:pPr>
      <w:r>
        <w:t xml:space="preserve">Protokoll E </w:t>
      </w:r>
      <w:bookmarkStart w:id="0" w:name="_GoBack"/>
      <w:r>
        <w:t>(</w:t>
      </w:r>
      <w:r w:rsidR="000C2B4D">
        <w:t xml:space="preserve">Einlauf, </w:t>
      </w:r>
      <w:r>
        <w:t>30 ppm</w:t>
      </w:r>
      <w:r w:rsidR="000C2B4D">
        <w:t>, 1 L</w:t>
      </w:r>
      <w:r>
        <w:t>)</w:t>
      </w:r>
      <w:bookmarkEnd w:id="0"/>
    </w:p>
    <w:p w:rsidR="007339D7" w:rsidRDefault="007339D7" w:rsidP="007339D7">
      <w:r>
        <w:t>(Einlauf zur Darmspülung)</w:t>
      </w:r>
    </w:p>
    <w:p w:rsidR="007339D7" w:rsidRDefault="007339D7" w:rsidP="007339D7">
      <w:pPr>
        <w:pStyle w:val="berschrift4"/>
      </w:pPr>
      <w:r>
        <w:t>Ziel:</w:t>
      </w:r>
    </w:p>
    <w:p w:rsidR="007339D7" w:rsidRDefault="007339D7" w:rsidP="007339D7">
      <w:r>
        <w:t>• Behandlung von Magen‐Darm‐Erkrankungen, chronischen Lebererkrankungen, Krebs, Parasitose und spezifischen Gesundheitsproblemen.</w:t>
      </w:r>
    </w:p>
    <w:p w:rsidR="007339D7" w:rsidRDefault="007339D7" w:rsidP="007339D7">
      <w:pPr>
        <w:pStyle w:val="berschrift4"/>
      </w:pPr>
      <w:r>
        <w:t>Allgemeine Dosierung:</w:t>
      </w:r>
    </w:p>
    <w:p w:rsidR="007339D7" w:rsidRDefault="007339D7" w:rsidP="007339D7">
      <w:r>
        <w:t xml:space="preserve">• 10 ml CDS (0,3 % = 3.000 ppm) pro Liter Wasser für Einläufe. (= </w:t>
      </w:r>
      <w:r w:rsidRPr="007339D7">
        <w:rPr>
          <w:highlight w:val="yellow"/>
        </w:rPr>
        <w:t>30 ppm</w:t>
      </w:r>
      <w:r>
        <w:t>)</w:t>
      </w:r>
    </w:p>
    <w:p w:rsidR="007339D7" w:rsidRDefault="007339D7" w:rsidP="007339D7">
      <w:pPr>
        <w:pStyle w:val="berschrift4"/>
      </w:pPr>
      <w:r>
        <w:t>Anwendung:</w:t>
      </w:r>
    </w:p>
    <w:p w:rsidR="007339D7" w:rsidRDefault="007339D7" w:rsidP="007339D7">
      <w:r>
        <w:t>• 10 ml CDS mit einem Liter körperwarmem Wasser mischen.</w:t>
      </w:r>
    </w:p>
    <w:p w:rsidR="007339D7" w:rsidRDefault="007339D7" w:rsidP="007339D7">
      <w:r>
        <w:t>• Füllen Sie einen Irrigator mit dieser Lösung.</w:t>
      </w:r>
    </w:p>
    <w:p w:rsidR="007339D7" w:rsidRDefault="007339D7" w:rsidP="007339D7">
      <w:r>
        <w:t>• Tragen Sie Vaseline auf die Spitze des Irrigators auf und führen Sie ihn vorsichtig in den Enddarm ein.</w:t>
      </w:r>
    </w:p>
    <w:p w:rsidR="007339D7" w:rsidRDefault="007339D7" w:rsidP="007339D7">
      <w:r>
        <w:t>• Legen Sie sich vorzugsweise auf die rechte Seite, um das Eindringen des Wassers zu erleichtern.</w:t>
      </w:r>
    </w:p>
    <w:p w:rsidR="007339D7" w:rsidRDefault="007339D7" w:rsidP="007339D7">
      <w:r>
        <w:t>• Öffnen Sie das Ventil und füllen Sie den Dickdarm entweder in kleinen Schüben, oder in einem Zug.</w:t>
      </w:r>
    </w:p>
    <w:p w:rsidR="007339D7" w:rsidRDefault="007339D7" w:rsidP="007339D7">
      <w:r>
        <w:t>• Halten Sie die Flüssigkeit etwa drei Minuten lang im Darm, bevor Sie sie ablassen, um die Wirksamkeit zu erhöhen.</w:t>
      </w:r>
    </w:p>
    <w:p w:rsidR="007339D7" w:rsidRDefault="007339D7" w:rsidP="007339D7">
      <w:r>
        <w:t>• Wenden Sie diese Methode bis zu einmal täglich an, am besten abends vor dem Schlafengehen, alle zwei bis drei Tage für ein bis zwei Wochen.</w:t>
      </w:r>
    </w:p>
    <w:p w:rsidR="007339D7" w:rsidRDefault="007339D7" w:rsidP="007339D7">
      <w:r>
        <w:t>• Sie können auch eine Mischung aus 1 Teil Meerwasser und 3 Teilen Wasser herstellen.</w:t>
      </w:r>
    </w:p>
    <w:p w:rsidR="007339D7" w:rsidRDefault="007339D7" w:rsidP="007339D7">
      <w:pPr>
        <w:pStyle w:val="berschrift1"/>
      </w:pPr>
      <w:r>
        <w:t>Protokoll EC</w:t>
      </w:r>
      <w:r w:rsidR="00075793">
        <w:t xml:space="preserve"> (120 – 90 ppm)</w:t>
      </w:r>
    </w:p>
    <w:p w:rsidR="007339D7" w:rsidRDefault="007339D7" w:rsidP="007339D7">
      <w:r>
        <w:t>(Klinischer Einlauf bei langsamer Absorption)</w:t>
      </w:r>
    </w:p>
    <w:p w:rsidR="007339D7" w:rsidRDefault="007339D7" w:rsidP="007339D7">
      <w:pPr>
        <w:pStyle w:val="berschrift4"/>
      </w:pPr>
      <w:r>
        <w:t>Anwendung:</w:t>
      </w:r>
    </w:p>
    <w:p w:rsidR="007339D7" w:rsidRDefault="007339D7" w:rsidP="007339D7">
      <w:r>
        <w:t>• Schließen Sie ein Infusions‐Besteck mit einem Blasenkatheter, z.B. „Nelaton“ ‐Urethrenkatheter, an den mit Kochsalzlösung und CDS gefüllten Infusionsbeutel an.</w:t>
      </w:r>
    </w:p>
    <w:p w:rsidR="007339D7" w:rsidRDefault="007339D7" w:rsidP="007339D7">
      <w:r>
        <w:lastRenderedPageBreak/>
        <w:t>Eventuell ist es nötig, den Adapter dafür abzuschneiden und den Katheter mit einem Isolierband zu fixieren.</w:t>
      </w:r>
    </w:p>
    <w:p w:rsidR="007339D7" w:rsidRDefault="007339D7" w:rsidP="007339D7">
      <w:r>
        <w:t>Alternativ kann das abgeschnittene Schlauchende vom Infusions‐Besteck auch an den Kanten abgerundet und wie nachfolgend beschrieben eingeführt werden.</w:t>
      </w:r>
    </w:p>
    <w:p w:rsidR="007339D7" w:rsidRDefault="007339D7" w:rsidP="007339D7">
      <w:r>
        <w:t>Es ist zuträglich ein Infusions‐Besteck mit 180 cm Schlauchlänge zu wählen. Vor dem klinischen Einlauf ist ein Reinigungseinlauf empfehlenswert. Zur Sicherheit kann der Schlauch mit einem Pflaster am Gesäß fixiert werden. Die Tropfgeschwindigkeit sollte so eingestellt werden, dass Sie keinen Stuhldrang verspüren.</w:t>
      </w:r>
    </w:p>
    <w:p w:rsidR="007339D7" w:rsidRDefault="007339D7" w:rsidP="007339D7">
      <w:r>
        <w:t>• Tragen Sie Vaseline auf den flexiblen Katheter auf und führen Sie ihn rektal ein, vorzugsweise bis zum Beginn des absteigenden Dickdarms.</w:t>
      </w:r>
    </w:p>
    <w:p w:rsidR="007339D7" w:rsidRDefault="007339D7" w:rsidP="007339D7">
      <w:r>
        <w:t>• Passen Sie die Tropfrate an die Verträglichkeit des Patienten an.</w:t>
      </w:r>
    </w:p>
    <w:p w:rsidR="007339D7" w:rsidRDefault="007339D7" w:rsidP="007339D7">
      <w:pPr>
        <w:pStyle w:val="berschrift4"/>
      </w:pPr>
      <w:r>
        <w:t>Verdünnungsoptionen:</w:t>
      </w:r>
    </w:p>
    <w:p w:rsidR="007339D7" w:rsidRDefault="007339D7" w:rsidP="007339D7">
      <w:r>
        <w:t xml:space="preserve">• EC10: 0,25 Liter 0,9%‐ige Kochsalzlösung + 10 ml CDS (3.000 ppm) für 4‐6 Stunden. (= </w:t>
      </w:r>
      <w:r w:rsidRPr="007339D7">
        <w:rPr>
          <w:highlight w:val="yellow"/>
        </w:rPr>
        <w:t>120 ppm</w:t>
      </w:r>
      <w:r>
        <w:t>)</w:t>
      </w:r>
    </w:p>
    <w:p w:rsidR="007339D7" w:rsidRDefault="007339D7" w:rsidP="007339D7">
      <w:r>
        <w:t xml:space="preserve">• EC20: 0,5 Liter 0,9%‐ige Kochsalzlösung + 20 ml CDS (3.000 ppm) für 8‐10 Stunden. (= </w:t>
      </w:r>
      <w:r w:rsidRPr="007339D7">
        <w:rPr>
          <w:highlight w:val="yellow"/>
        </w:rPr>
        <w:t>120 ppm</w:t>
      </w:r>
      <w:r>
        <w:t>)</w:t>
      </w:r>
    </w:p>
    <w:p w:rsidR="007339D7" w:rsidRDefault="007339D7" w:rsidP="007339D7">
      <w:r>
        <w:t>• EC30: 1 Liter 0,9%‐ige Kochsalzlösung + 30 ml CDS (3.000 ppm) für 10‐12 Stunden. (</w:t>
      </w:r>
      <w:r w:rsidRPr="007339D7">
        <w:rPr>
          <w:color w:val="000000" w:themeColor="text1"/>
          <w:highlight w:val="yellow"/>
        </w:rPr>
        <w:t>= 90 ppm</w:t>
      </w:r>
      <w:r>
        <w:t>)</w:t>
      </w:r>
    </w:p>
    <w:p w:rsidR="007339D7" w:rsidRDefault="007339D7" w:rsidP="007339D7"/>
    <w:p w:rsidR="007339D7" w:rsidRDefault="007339D7" w:rsidP="007339D7">
      <w:r>
        <w:t>• Anwendung einmal täglich, vorzugsweise nachts.</w:t>
      </w:r>
    </w:p>
    <w:p w:rsidR="007339D7" w:rsidRDefault="007339D7" w:rsidP="007339D7">
      <w:pPr>
        <w:pStyle w:val="berschrift4"/>
      </w:pPr>
      <w:r>
        <w:t>Vorsichtsmaßnahmen:</w:t>
      </w:r>
    </w:p>
    <w:p w:rsidR="007339D7" w:rsidRDefault="007339D7" w:rsidP="007339D7">
      <w:r>
        <w:t>• Vermeiden Sie die Verwendung von DMSO mit diesem Protokoll, da es dazu führen kann, dass Fäkaltoxine in das Blut gelangen.</w:t>
      </w:r>
    </w:p>
    <w:p w:rsidR="007339D7" w:rsidRDefault="007339D7" w:rsidP="007339D7">
      <w:pPr>
        <w:pStyle w:val="berschrift4"/>
      </w:pPr>
      <w:r>
        <w:t>Vorbereitung des EC‐Protokolls – ein Kurzvideo</w:t>
      </w:r>
    </w:p>
    <w:p w:rsidR="007339D7" w:rsidRDefault="007339D7" w:rsidP="007339D7">
      <w:r>
        <w:t>Für denjenigen, der noch nie mit diesem Protokoll zu tun hatte, mag es auf den ersten Blick kompliziert wirken – noch nie gehörte Fachbegriffe reihen sich aneinander und schrecken den ein oder anderen zunächst vielleicht ab.</w:t>
      </w:r>
    </w:p>
    <w:p w:rsidR="007339D7" w:rsidRDefault="007339D7" w:rsidP="007339D7">
      <w:r>
        <w:t>Um den Einstieg zu erleichtern, stellen wir euch ein kleines Video zur Verfügung:</w:t>
      </w:r>
    </w:p>
    <w:p w:rsidR="007339D7" w:rsidRDefault="000C2B4D" w:rsidP="007339D7">
      <w:hyperlink r:id="rId5" w:history="1">
        <w:r w:rsidR="007339D7" w:rsidRPr="000F55D8">
          <w:rPr>
            <w:rStyle w:val="Hyperlink"/>
          </w:rPr>
          <w:t>https://dioxitube.com/w/6TgkbUjbVtv56RXB4qffoP</w:t>
        </w:r>
      </w:hyperlink>
    </w:p>
    <w:p w:rsidR="007339D7" w:rsidRDefault="007339D7" w:rsidP="007339D7"/>
    <w:p w:rsidR="00EE3AA5" w:rsidRDefault="007339D7" w:rsidP="007339D7">
      <w:r>
        <w:t>Neue Protokolle Andreas Kalcker ∙ Stand August 2025 ∙ www.andreaskalcker.com ∙ ZUM INHALTSVERZEICHNIS 12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D7"/>
    <w:rsid w:val="00075793"/>
    <w:rsid w:val="0007601C"/>
    <w:rsid w:val="000C2B4D"/>
    <w:rsid w:val="00141C24"/>
    <w:rsid w:val="00147A65"/>
    <w:rsid w:val="002B2D77"/>
    <w:rsid w:val="00317B3A"/>
    <w:rsid w:val="003A02B1"/>
    <w:rsid w:val="003E4A3C"/>
    <w:rsid w:val="003F1352"/>
    <w:rsid w:val="0053334A"/>
    <w:rsid w:val="0059356F"/>
    <w:rsid w:val="005A0C8A"/>
    <w:rsid w:val="005B3949"/>
    <w:rsid w:val="005E2B80"/>
    <w:rsid w:val="00620F96"/>
    <w:rsid w:val="00635562"/>
    <w:rsid w:val="007056E5"/>
    <w:rsid w:val="007339D7"/>
    <w:rsid w:val="007974B7"/>
    <w:rsid w:val="008831D6"/>
    <w:rsid w:val="0099706E"/>
    <w:rsid w:val="009D4660"/>
    <w:rsid w:val="00AD6727"/>
    <w:rsid w:val="00B95414"/>
    <w:rsid w:val="00BD3F5F"/>
    <w:rsid w:val="00CA4B46"/>
    <w:rsid w:val="00CC0C13"/>
    <w:rsid w:val="00D26C92"/>
    <w:rsid w:val="00E54996"/>
    <w:rsid w:val="00EB032A"/>
    <w:rsid w:val="00EC60FD"/>
    <w:rsid w:val="00EE3AA5"/>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B4D3"/>
  <w15:chartTrackingRefBased/>
  <w15:docId w15:val="{F334D9C0-DBB1-4C91-9D9D-F8A1D525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 w:type="character" w:styleId="Hyperlink">
    <w:name w:val="Hyperlink"/>
    <w:basedOn w:val="Absatz-Standardschriftart"/>
    <w:uiPriority w:val="99"/>
    <w:unhideWhenUsed/>
    <w:rsid w:val="00733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oxitube.com/w/6TgkbUjbVtv56RXB4qffoP"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2025-11-11T09:09:00Z</dcterms:created>
  <dcterms:modified xsi:type="dcterms:W3CDTF">2025-11-17T14:12:00Z</dcterms:modified>
</cp:coreProperties>
</file>